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57099" w14:textId="53BC29AA" w:rsidR="00246015" w:rsidRPr="00246015" w:rsidRDefault="0053495D" w:rsidP="00246015">
      <w:pPr>
        <w:shd w:val="clear" w:color="auto" w:fill="FFFFFF"/>
        <w:spacing w:before="75" w:after="75" w:line="240" w:lineRule="auto"/>
        <w:ind w:right="75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The work of the Critical Medicines Alliance highlighted </w:t>
      </w:r>
      <w:r w:rsid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the need for a substantial and factual body of data to determine the competitiveness gap faced by the European actors of the pharmaceutical supply chain</w:t>
      </w:r>
      <w:r w:rsidR="00D90FBF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. </w:t>
      </w:r>
      <w:r w:rsidR="00246015"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SICOS, the </w:t>
      </w:r>
      <w:r w:rsid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French </w:t>
      </w:r>
      <w:r w:rsidR="00246015"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Syndicate of Fine Chemical and Biotech Industries</w:t>
      </w:r>
      <w:r w:rsidR="00D90FBF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, and a member of EFCG, </w:t>
      </w:r>
      <w:r w:rsid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 commissioned an extensive study from Advancy, published in September 2024. </w:t>
      </w:r>
    </w:p>
    <w:p w14:paraId="24F2A207" w14:textId="77777777" w:rsidR="00246015" w:rsidRDefault="00246015" w:rsidP="00246015">
      <w:pPr>
        <w:shd w:val="clear" w:color="auto" w:fill="FFFFFF"/>
        <w:spacing w:before="75" w:after="75" w:line="240" w:lineRule="auto"/>
        <w:ind w:right="75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This study </w:t>
      </w: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highlights the significant competitiveness deficit faced by the European pharmaceutical sector, particularly in the production of essential medicines and active 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pharmaceutical </w:t>
      </w: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ingredients (APIs). </w:t>
      </w:r>
    </w:p>
    <w:p w14:paraId="0355D54A" w14:textId="77777777" w:rsidR="00246015" w:rsidRPr="00246015" w:rsidRDefault="00246015" w:rsidP="00246015">
      <w:pPr>
        <w:shd w:val="clear" w:color="auto" w:fill="FFFFFF"/>
        <w:spacing w:before="75" w:after="75" w:line="240" w:lineRule="auto"/>
        <w:ind w:right="75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These findings underscore the urgent need for Europe to support and protect its pharmaceutical industry to ensure the sustainability of local production and the health of European citizens.</w:t>
      </w:r>
    </w:p>
    <w:p w14:paraId="114E4911" w14:textId="77777777" w:rsidR="00246015" w:rsidRDefault="00246015" w:rsidP="00246015">
      <w:pPr>
        <w:shd w:val="clear" w:color="auto" w:fill="FFFFFF"/>
        <w:spacing w:before="75" w:after="75" w:line="240" w:lineRule="auto"/>
        <w:ind w:right="75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</w:p>
    <w:p w14:paraId="74DD71F3" w14:textId="71249EF2" w:rsidR="00246015" w:rsidRPr="00246015" w:rsidRDefault="00246015" w:rsidP="00246015">
      <w:pPr>
        <w:shd w:val="clear" w:color="auto" w:fill="FFFFFF"/>
        <w:spacing w:before="75" w:after="75" w:line="240" w:lineRule="auto"/>
        <w:ind w:right="75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Key findings include:</w:t>
      </w:r>
    </w:p>
    <w:p w14:paraId="3DCBFA59" w14:textId="04757BD8" w:rsidR="00246015" w:rsidRPr="00246015" w:rsidRDefault="00246015" w:rsidP="002460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4601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 xml:space="preserve">Competitiveness </w:t>
      </w:r>
      <w:r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gap</w:t>
      </w: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: Europe suffers from a major competitiveness deficit compared to regions 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such as </w:t>
      </w: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 India and China, leading to a collapse in the production of APIs and GMP intermediates in Europe.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 In addition, </w:t>
      </w: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 xml:space="preserve">Europe faces competitiveness gaps of 50 to 100% due to asymmetrical constraints, particularly social, environmental, and 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safety</w:t>
      </w: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-related.</w:t>
      </w:r>
    </w:p>
    <w:p w14:paraId="5C61DABA" w14:textId="77777777" w:rsidR="00246015" w:rsidRPr="00246015" w:rsidRDefault="00246015" w:rsidP="002460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4601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Dependence on Imports</w:t>
      </w: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: Over 74% of the European medicines value chain depends on imports, and 80% of the top 10 best-selling generics have experienced shortages since 20161.</w:t>
      </w:r>
    </w:p>
    <w:p w14:paraId="3110F1DB" w14:textId="7251EE51" w:rsidR="00246015" w:rsidRPr="00246015" w:rsidRDefault="00246015" w:rsidP="002460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4601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Support Measures</w:t>
      </w: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: Europe provides significantly less support to its national production (€0.25 billion) compared to India (€3 billion), China (€1.5 billion), and the US (€1 billion).</w:t>
      </w:r>
    </w:p>
    <w:p w14:paraId="15E879EA" w14:textId="77777777" w:rsidR="00246015" w:rsidRPr="00246015" w:rsidRDefault="00246015" w:rsidP="002460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4601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Impact on Jobs and Health</w:t>
      </w: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: The situation poses a risk to the health of citizens and threatens over 150,000 direct jobs in the production of pharmaceutical active ingredients1.</w:t>
      </w:r>
    </w:p>
    <w:p w14:paraId="1299CE2B" w14:textId="2A1CCA16" w:rsidR="00246015" w:rsidRPr="00246015" w:rsidRDefault="00246015" w:rsidP="0024601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</w:pPr>
      <w:r w:rsidRPr="00246015">
        <w:rPr>
          <w:rFonts w:ascii="Segoe UI" w:eastAsia="Times New Roman" w:hAnsi="Segoe UI" w:cs="Segoe UI"/>
          <w:b/>
          <w:bCs/>
          <w:color w:val="000000"/>
          <w:kern w:val="0"/>
          <w:sz w:val="21"/>
          <w:szCs w:val="21"/>
          <w:lang w:eastAsia="en-GB"/>
          <w14:ligatures w14:val="none"/>
        </w:rPr>
        <w:t>Call for Action</w:t>
      </w:r>
      <w:r w:rsidRPr="00246015">
        <w:rPr>
          <w:rFonts w:ascii="Segoe UI" w:eastAsia="Times New Roman" w:hAnsi="Segoe UI" w:cs="Segoe UI"/>
          <w:color w:val="000000"/>
          <w:kern w:val="0"/>
          <w:sz w:val="21"/>
          <w:szCs w:val="21"/>
          <w:lang w:eastAsia="en-GB"/>
          <w14:ligatures w14:val="none"/>
        </w:rPr>
        <w:t>: The study calls for Europe to implement a Critical Medicines Act to defend local, competitive, sustainable, and resilient production of active ingredients and pharmaceutical intermediates.</w:t>
      </w:r>
    </w:p>
    <w:p w14:paraId="019727AD" w14:textId="77777777" w:rsidR="002868BE" w:rsidRDefault="002868BE"/>
    <w:sectPr w:rsidR="002868BE" w:rsidSect="00C240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085C29"/>
    <w:multiLevelType w:val="multilevel"/>
    <w:tmpl w:val="98FA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214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15"/>
    <w:rsid w:val="00246015"/>
    <w:rsid w:val="002868BE"/>
    <w:rsid w:val="00530B4B"/>
    <w:rsid w:val="0053495D"/>
    <w:rsid w:val="00C24009"/>
    <w:rsid w:val="00D9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5F33B"/>
  <w15:chartTrackingRefBased/>
  <w15:docId w15:val="{394F9FD7-1DA8-4FFB-8BFA-C5237299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0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0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0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0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0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0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0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0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3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SAYKALI Maggie</dc:creator>
  <cp:keywords/>
  <dc:description/>
  <cp:lastModifiedBy>SAYKALI Maggie</cp:lastModifiedBy>
  <cp:revision>3</cp:revision>
  <dcterms:created xsi:type="dcterms:W3CDTF">2025-01-13T10:54:00Z</dcterms:created>
  <dcterms:modified xsi:type="dcterms:W3CDTF">2025-01-13T11:02:00Z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31278c8-9e0c-4164-90a5-45ac4b30bdbb_Enabled">
    <vt:lpwstr>true</vt:lpwstr>
  </property>
  <property fmtid="{D5CDD505-2E9C-101B-9397-08002B2CF9AE}" pid="3" name="MSIP_Label_a31278c8-9e0c-4164-90a5-45ac4b30bdbb_SetDate">
    <vt:lpwstr>2025-01-13T11:01:08Z</vt:lpwstr>
  </property>
  <property fmtid="{D5CDD505-2E9C-101B-9397-08002B2CF9AE}" pid="4" name="MSIP_Label_a31278c8-9e0c-4164-90a5-45ac4b30bdbb_Method">
    <vt:lpwstr>Standard</vt:lpwstr>
  </property>
  <property fmtid="{D5CDD505-2E9C-101B-9397-08002B2CF9AE}" pid="5" name="MSIP_Label_a31278c8-9e0c-4164-90a5-45ac4b30bdbb_Name">
    <vt:lpwstr>Public</vt:lpwstr>
  </property>
  <property fmtid="{D5CDD505-2E9C-101B-9397-08002B2CF9AE}" pid="6" name="MSIP_Label_a31278c8-9e0c-4164-90a5-45ac4b30bdbb_SiteId">
    <vt:lpwstr>2aa31c1f-01c3-45fb-ac5d-93315bf8649e</vt:lpwstr>
  </property>
  <property fmtid="{D5CDD505-2E9C-101B-9397-08002B2CF9AE}" pid="7" name="MSIP_Label_a31278c8-9e0c-4164-90a5-45ac4b30bdbb_ActionId">
    <vt:lpwstr>d07a7976-80fb-4efd-bbd2-4e1912500bd0</vt:lpwstr>
  </property>
  <property fmtid="{D5CDD505-2E9C-101B-9397-08002B2CF9AE}" pid="8" name="MSIP_Label_a31278c8-9e0c-4164-90a5-45ac4b30bdbb_ContentBits">
    <vt:lpwstr>0</vt:lpwstr>
  </property>
</Properties>
</file>