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87" w:rsidRDefault="00976F87" w:rsidP="00976F87"/>
    <w:p w:rsidR="00D516B6" w:rsidRPr="00E27063" w:rsidRDefault="00146E21" w:rsidP="00D516B6">
      <w:pPr>
        <w:jc w:val="right"/>
        <w:rPr>
          <w:rFonts w:ascii="Calibri" w:hAnsi="Calibri"/>
          <w:b/>
          <w:bCs/>
          <w:color w:val="44546A" w:themeColor="text2"/>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00D516B6" w:rsidRPr="00E27063">
        <w:rPr>
          <w:rFonts w:ascii="Calibri" w:hAnsi="Calibri"/>
          <w:b/>
          <w:bCs/>
          <w:color w:val="44546A" w:themeColor="text2"/>
        </w:rPr>
        <w:t>FOR IMMEDIATE RELEASE</w:t>
      </w:r>
      <w:r w:rsidR="00D516B6" w:rsidRPr="00E27063">
        <w:rPr>
          <w:rFonts w:ascii="Calibri" w:hAnsi="Calibri"/>
          <w:color w:val="44546A" w:themeColor="text2"/>
        </w:rPr>
        <w:br/>
      </w:r>
      <w:r w:rsidR="00D516B6" w:rsidRPr="00E27063">
        <w:rPr>
          <w:rFonts w:ascii="Calibri" w:hAnsi="Calibri"/>
          <w:b/>
          <w:bCs/>
          <w:color w:val="44546A" w:themeColor="text2"/>
        </w:rPr>
        <w:t>August 31, 2016</w:t>
      </w:r>
    </w:p>
    <w:p w:rsidR="00D516B6" w:rsidRDefault="00D516B6" w:rsidP="00D516B6">
      <w:pPr>
        <w:jc w:val="center"/>
        <w:rPr>
          <w:rFonts w:ascii="Calibri" w:hAnsi="Calibri"/>
          <w:b/>
          <w:bCs/>
          <w:color w:val="44546A" w:themeColor="text2"/>
          <w:sz w:val="30"/>
          <w:szCs w:val="30"/>
        </w:rPr>
      </w:pPr>
    </w:p>
    <w:p w:rsidR="00D516B6" w:rsidRDefault="00D516B6" w:rsidP="00D516B6">
      <w:pPr>
        <w:jc w:val="center"/>
        <w:rPr>
          <w:rFonts w:ascii="Calibri" w:hAnsi="Calibri"/>
          <w:b/>
          <w:bCs/>
          <w:color w:val="44546A" w:themeColor="text2"/>
          <w:sz w:val="30"/>
          <w:szCs w:val="30"/>
        </w:rPr>
      </w:pPr>
    </w:p>
    <w:p w:rsidR="00D516B6" w:rsidRDefault="00D516B6" w:rsidP="00D516B6">
      <w:pPr>
        <w:jc w:val="center"/>
        <w:rPr>
          <w:rFonts w:ascii="Calibri" w:hAnsi="Calibri"/>
          <w:b/>
          <w:bCs/>
          <w:color w:val="44546A" w:themeColor="text2"/>
          <w:sz w:val="30"/>
          <w:szCs w:val="30"/>
        </w:rPr>
      </w:pPr>
    </w:p>
    <w:p w:rsidR="00D516B6" w:rsidRPr="00E27063" w:rsidRDefault="00D516B6" w:rsidP="00D516B6">
      <w:pPr>
        <w:jc w:val="center"/>
        <w:rPr>
          <w:rFonts w:ascii="Calibri" w:hAnsi="Calibri"/>
          <w:b/>
          <w:bCs/>
          <w:color w:val="000000"/>
        </w:rPr>
      </w:pPr>
      <w:r w:rsidRPr="00E27063">
        <w:rPr>
          <w:rFonts w:ascii="Calibri" w:hAnsi="Calibri"/>
          <w:b/>
          <w:bCs/>
          <w:color w:val="44546A" w:themeColor="text2"/>
          <w:sz w:val="30"/>
          <w:szCs w:val="30"/>
        </w:rPr>
        <w:t xml:space="preserve">EFCG supports the USA’s Generic Drug User Fee Act </w:t>
      </w:r>
      <w:r w:rsidRPr="00E27063">
        <w:rPr>
          <w:rFonts w:ascii="Calibri" w:hAnsi="Calibri"/>
          <w:color w:val="44546A" w:themeColor="text2"/>
          <w:sz w:val="30"/>
          <w:szCs w:val="30"/>
        </w:rPr>
        <w:br/>
      </w:r>
    </w:p>
    <w:p w:rsidR="00D516B6" w:rsidRDefault="00D516B6" w:rsidP="00D516B6">
      <w:pPr>
        <w:rPr>
          <w:rFonts w:ascii="Calibri" w:hAnsi="Calibri"/>
          <w:color w:val="000000"/>
        </w:rPr>
      </w:pPr>
      <w:r w:rsidRPr="00E27063">
        <w:rPr>
          <w:rFonts w:ascii="Calibri" w:hAnsi="Calibri"/>
          <w:b/>
          <w:bCs/>
          <w:color w:val="000000"/>
        </w:rPr>
        <w:t>Brussels, 31</w:t>
      </w:r>
      <w:r w:rsidRPr="00E27063">
        <w:rPr>
          <w:rFonts w:ascii="Calibri" w:hAnsi="Calibri"/>
          <w:b/>
          <w:bCs/>
          <w:color w:val="000000"/>
          <w:vertAlign w:val="superscript"/>
        </w:rPr>
        <w:t>st</w:t>
      </w:r>
      <w:r w:rsidRPr="00E27063">
        <w:rPr>
          <w:rFonts w:ascii="Calibri" w:hAnsi="Calibri"/>
          <w:b/>
          <w:bCs/>
          <w:color w:val="000000"/>
        </w:rPr>
        <w:t xml:space="preserve"> August 2016 </w:t>
      </w:r>
      <w:r w:rsidRPr="00E27063">
        <w:rPr>
          <w:rFonts w:ascii="Calibri" w:hAnsi="Calibri"/>
          <w:color w:val="000000"/>
        </w:rPr>
        <w:t xml:space="preserve">– The European Fine Chemicals Group (EFCG) - a sector group of </w:t>
      </w:r>
      <w:proofErr w:type="spellStart"/>
      <w:r w:rsidRPr="00E27063">
        <w:rPr>
          <w:rFonts w:ascii="Calibri" w:hAnsi="Calibri"/>
          <w:color w:val="000000"/>
        </w:rPr>
        <w:t>Cefic</w:t>
      </w:r>
      <w:proofErr w:type="spellEnd"/>
      <w:r w:rsidRPr="00E27063">
        <w:rPr>
          <w:rFonts w:ascii="Calibri" w:hAnsi="Calibri"/>
          <w:color w:val="000000"/>
        </w:rPr>
        <w:t xml:space="preserve">, the European Chemical Industry Council -  has agreed on terms </w:t>
      </w:r>
      <w:proofErr w:type="spellStart"/>
      <w:r w:rsidRPr="00E27063">
        <w:rPr>
          <w:rFonts w:ascii="Calibri" w:hAnsi="Calibri"/>
          <w:color w:val="000000"/>
        </w:rPr>
        <w:t>reauthorising</w:t>
      </w:r>
      <w:proofErr w:type="spellEnd"/>
      <w:r w:rsidRPr="00E27063">
        <w:rPr>
          <w:rFonts w:ascii="Calibri" w:hAnsi="Calibri"/>
          <w:color w:val="000000"/>
        </w:rPr>
        <w:t xml:space="preserve"> the US Food and Drug Administration’s (FDA’s) Generic Drug User Fee </w:t>
      </w:r>
      <w:proofErr w:type="spellStart"/>
      <w:r w:rsidRPr="00E27063">
        <w:rPr>
          <w:rFonts w:ascii="Calibri" w:hAnsi="Calibri"/>
          <w:color w:val="000000"/>
        </w:rPr>
        <w:t>programme</w:t>
      </w:r>
      <w:proofErr w:type="spellEnd"/>
      <w:r w:rsidRPr="00E27063">
        <w:rPr>
          <w:rFonts w:ascii="Calibri" w:hAnsi="Calibri"/>
          <w:color w:val="000000"/>
        </w:rPr>
        <w:t xml:space="preserve"> (GDUFA) for generic pharmaceutical substances from FY2018 to FY2022. </w:t>
      </w:r>
    </w:p>
    <w:p w:rsidR="00D516B6" w:rsidRDefault="00D516B6" w:rsidP="00D516B6">
      <w:pPr>
        <w:rPr>
          <w:rFonts w:ascii="Calibri" w:hAnsi="Calibri"/>
          <w:color w:val="000000"/>
        </w:rPr>
      </w:pPr>
    </w:p>
    <w:p w:rsidR="00D516B6" w:rsidRPr="00E27063" w:rsidRDefault="00D516B6" w:rsidP="00D516B6">
      <w:pPr>
        <w:rPr>
          <w:rFonts w:ascii="Calibri" w:hAnsi="Calibri"/>
          <w:color w:val="000000"/>
        </w:rPr>
      </w:pPr>
      <w:r w:rsidRPr="00E27063">
        <w:rPr>
          <w:rFonts w:ascii="Calibri" w:hAnsi="Calibri"/>
          <w:color w:val="000000"/>
        </w:rPr>
        <w:t>The conclusion of the agreement demonstrates the strong cooperation between industry and regulators in ensuring public safety.</w:t>
      </w:r>
      <w:r w:rsidRPr="002A2688">
        <w:rPr>
          <w:rFonts w:ascii="Calibri" w:hAnsi="Calibri"/>
          <w:color w:val="000000"/>
        </w:rPr>
        <w:t xml:space="preserve"> </w:t>
      </w:r>
      <w:r w:rsidRPr="00621440">
        <w:rPr>
          <w:rFonts w:ascii="Calibri" w:hAnsi="Calibri"/>
          <w:color w:val="000000"/>
        </w:rPr>
        <w:t xml:space="preserve">During negotiations with the FDA, </w:t>
      </w:r>
      <w:proofErr w:type="gramStart"/>
      <w:r w:rsidRPr="00621440">
        <w:rPr>
          <w:rFonts w:ascii="Calibri" w:hAnsi="Calibri"/>
          <w:color w:val="000000"/>
        </w:rPr>
        <w:t>European API producers were represented by EFCG as well as stakeholders such as the US-based associations GPHA, BPTF and PBOA</w:t>
      </w:r>
      <w:proofErr w:type="gramEnd"/>
      <w:r w:rsidRPr="00621440">
        <w:rPr>
          <w:rFonts w:ascii="Calibri" w:hAnsi="Calibri"/>
          <w:color w:val="000000"/>
        </w:rPr>
        <w:t xml:space="preserve">.  </w:t>
      </w:r>
    </w:p>
    <w:p w:rsidR="00D516B6" w:rsidRDefault="00D516B6" w:rsidP="00D516B6"/>
    <w:p w:rsidR="00D516B6" w:rsidRPr="00E27063" w:rsidRDefault="00D516B6" w:rsidP="00D516B6">
      <w:pPr>
        <w:rPr>
          <w:rFonts w:ascii="Calibri" w:hAnsi="Calibri"/>
          <w:color w:val="000000"/>
        </w:rPr>
      </w:pPr>
      <w:r w:rsidRPr="00324113">
        <w:t xml:space="preserve">States Guy Villax, EFCG Board Member, </w:t>
      </w:r>
      <w:r w:rsidRPr="00324113">
        <w:rPr>
          <w:i/>
        </w:rPr>
        <w:t>“We thank the FDA for inviting us to participate in these negotiations, and for valuing the contribution the European API industry makes to the USA’s generic medicines industry. We are pleased with the agreement we were able to reach on this important public safety issue.</w:t>
      </w:r>
      <w:r>
        <w:rPr>
          <w:i/>
        </w:rPr>
        <w:t xml:space="preserve"> </w:t>
      </w:r>
      <w:r w:rsidRPr="00324113">
        <w:rPr>
          <w:i/>
        </w:rPr>
        <w:t>The continued funding of enforcement activities is key to safeguarding the supply chain that delivers high quality generic medicines to patients”.</w:t>
      </w:r>
      <w:r w:rsidRPr="00324113">
        <w:t xml:space="preserve"> </w:t>
      </w:r>
      <w:r w:rsidRPr="00324113">
        <w:br/>
      </w:r>
    </w:p>
    <w:p w:rsidR="00D516B6" w:rsidRDefault="00D516B6" w:rsidP="00D516B6">
      <w:pPr>
        <w:rPr>
          <w:rFonts w:ascii="Calibri" w:hAnsi="Calibri"/>
          <w:color w:val="000000"/>
        </w:rPr>
      </w:pPr>
      <w:r w:rsidRPr="00E27063">
        <w:rPr>
          <w:rFonts w:ascii="Calibri" w:hAnsi="Calibri"/>
          <w:color w:val="000000"/>
        </w:rPr>
        <w:t xml:space="preserve">GDUFA </w:t>
      </w:r>
      <w:proofErr w:type="gramStart"/>
      <w:r w:rsidRPr="00E27063">
        <w:rPr>
          <w:rFonts w:ascii="Calibri" w:hAnsi="Calibri"/>
          <w:color w:val="000000"/>
        </w:rPr>
        <w:t>is designed</w:t>
      </w:r>
      <w:proofErr w:type="gramEnd"/>
      <w:r w:rsidRPr="00E27063">
        <w:rPr>
          <w:rFonts w:ascii="Calibri" w:hAnsi="Calibri"/>
          <w:color w:val="000000"/>
        </w:rPr>
        <w:t xml:space="preserve"> to speed access to safe and effective generic drugs </w:t>
      </w:r>
      <w:r w:rsidRPr="002A2688">
        <w:rPr>
          <w:rFonts w:ascii="Calibri" w:hAnsi="Calibri"/>
          <w:color w:val="000000"/>
        </w:rPr>
        <w:t>for</w:t>
      </w:r>
      <w:r w:rsidRPr="00E27063">
        <w:rPr>
          <w:rFonts w:ascii="Calibri" w:hAnsi="Calibri"/>
          <w:color w:val="000000"/>
        </w:rPr>
        <w:t xml:space="preserve"> the public a</w:t>
      </w:r>
      <w:r w:rsidRPr="002A2688">
        <w:rPr>
          <w:rFonts w:ascii="Calibri" w:hAnsi="Calibri"/>
          <w:color w:val="000000"/>
        </w:rPr>
        <w:t>s well as</w:t>
      </w:r>
      <w:r w:rsidRPr="00E27063">
        <w:rPr>
          <w:rFonts w:ascii="Calibri" w:hAnsi="Calibri"/>
          <w:color w:val="000000"/>
        </w:rPr>
        <w:t xml:space="preserve"> reduc</w:t>
      </w:r>
      <w:r w:rsidRPr="002A2688">
        <w:rPr>
          <w:rFonts w:ascii="Calibri" w:hAnsi="Calibri"/>
          <w:color w:val="000000"/>
        </w:rPr>
        <w:t>ing unnecessary costs for</w:t>
      </w:r>
      <w:r w:rsidRPr="00E27063">
        <w:rPr>
          <w:rFonts w:ascii="Calibri" w:hAnsi="Calibri"/>
          <w:color w:val="000000"/>
        </w:rPr>
        <w:t xml:space="preserve"> industry. </w:t>
      </w:r>
      <w:r>
        <w:rPr>
          <w:rFonts w:ascii="Calibri" w:hAnsi="Calibri"/>
          <w:color w:val="000000"/>
        </w:rPr>
        <w:t>It also</w:t>
      </w:r>
      <w:r w:rsidRPr="00963914">
        <w:rPr>
          <w:rFonts w:ascii="Calibri" w:hAnsi="Calibri"/>
          <w:color w:val="000000"/>
        </w:rPr>
        <w:t xml:space="preserve"> ensures that Active Pharmaceutical Ingredients (APIs) </w:t>
      </w:r>
      <w:r>
        <w:rPr>
          <w:rFonts w:ascii="Calibri" w:hAnsi="Calibri"/>
          <w:color w:val="000000"/>
        </w:rPr>
        <w:t xml:space="preserve">being </w:t>
      </w:r>
      <w:r w:rsidRPr="00963914">
        <w:rPr>
          <w:rFonts w:ascii="Calibri" w:hAnsi="Calibri"/>
          <w:color w:val="000000"/>
        </w:rPr>
        <w:t>used are compliant with regulations and filings</w:t>
      </w:r>
      <w:r>
        <w:rPr>
          <w:rFonts w:ascii="Calibri" w:hAnsi="Calibri"/>
          <w:color w:val="000000"/>
        </w:rPr>
        <w:t xml:space="preserve"> and</w:t>
      </w:r>
      <w:r w:rsidRPr="00963914">
        <w:rPr>
          <w:rFonts w:ascii="Calibri" w:hAnsi="Calibri"/>
          <w:color w:val="000000"/>
        </w:rPr>
        <w:t xml:space="preserve"> that non-compliant producers are excluded from the market.</w:t>
      </w:r>
      <w:r>
        <w:rPr>
          <w:rFonts w:ascii="Calibri" w:hAnsi="Calibri"/>
          <w:color w:val="000000"/>
        </w:rPr>
        <w:t xml:space="preserve"> </w:t>
      </w:r>
      <w:r w:rsidRPr="00E27063">
        <w:rPr>
          <w:rFonts w:ascii="Calibri" w:hAnsi="Calibri"/>
          <w:color w:val="000000"/>
        </w:rPr>
        <w:t xml:space="preserve">EFCG members support GDUFA since </w:t>
      </w:r>
      <w:r>
        <w:rPr>
          <w:rFonts w:ascii="Calibri" w:hAnsi="Calibri"/>
          <w:color w:val="000000"/>
        </w:rPr>
        <w:t>f</w:t>
      </w:r>
      <w:r w:rsidRPr="00E27063">
        <w:rPr>
          <w:rFonts w:ascii="Calibri" w:hAnsi="Calibri"/>
          <w:color w:val="000000"/>
        </w:rPr>
        <w:t xml:space="preserve">ees paid by industry to the FDA enable the funding of additional review and inspections resources. Since its inception in </w:t>
      </w:r>
      <w:proofErr w:type="gramStart"/>
      <w:r w:rsidRPr="00E27063">
        <w:rPr>
          <w:rFonts w:ascii="Calibri" w:hAnsi="Calibri"/>
          <w:color w:val="000000"/>
        </w:rPr>
        <w:t>2012</w:t>
      </w:r>
      <w:proofErr w:type="gramEnd"/>
      <w:r w:rsidRPr="00E27063">
        <w:rPr>
          <w:rFonts w:ascii="Calibri" w:hAnsi="Calibri"/>
          <w:color w:val="000000"/>
        </w:rPr>
        <w:t xml:space="preserve"> </w:t>
      </w:r>
      <w:r>
        <w:rPr>
          <w:rFonts w:ascii="Calibri" w:hAnsi="Calibri"/>
          <w:color w:val="000000"/>
        </w:rPr>
        <w:t>GDUFA</w:t>
      </w:r>
      <w:r w:rsidRPr="00E27063">
        <w:rPr>
          <w:rFonts w:ascii="Calibri" w:hAnsi="Calibri"/>
          <w:color w:val="000000"/>
        </w:rPr>
        <w:t xml:space="preserve"> has delivered concrete improvements in inspection and enforcement, for example with the opening of FDA offices in India and China. </w:t>
      </w:r>
    </w:p>
    <w:p w:rsidR="00D516B6" w:rsidRPr="00E27063" w:rsidRDefault="00D516B6" w:rsidP="00D516B6">
      <w:pPr>
        <w:pStyle w:val="Default"/>
        <w:rPr>
          <w:sz w:val="22"/>
          <w:szCs w:val="22"/>
          <w:lang w:val="en-GB"/>
        </w:rPr>
      </w:pPr>
    </w:p>
    <w:p w:rsidR="00D516B6" w:rsidRPr="00E27063" w:rsidRDefault="00D516B6" w:rsidP="00D516B6">
      <w:pPr>
        <w:rPr>
          <w:rFonts w:ascii="Calibri" w:hAnsi="Calibri"/>
          <w:color w:val="000000"/>
        </w:rPr>
      </w:pPr>
      <w:r w:rsidRPr="00E27063">
        <w:rPr>
          <w:rFonts w:ascii="Calibri" w:hAnsi="Calibri"/>
          <w:color w:val="000000"/>
        </w:rPr>
        <w:t>Since 2004, EFCG has been raising red flags on matters such as data integrity failings and the use by some of non-compliance as a competitive advantage.  These decade-old efforts are now bearing their fruits.</w:t>
      </w:r>
    </w:p>
    <w:p w:rsidR="00D516B6" w:rsidRPr="00E27063" w:rsidRDefault="00D516B6" w:rsidP="00D516B6">
      <w:pPr>
        <w:rPr>
          <w:rFonts w:ascii="Calibri" w:hAnsi="Calibri"/>
          <w:b/>
          <w:bCs/>
          <w:i/>
          <w:iCs/>
          <w:color w:val="000000"/>
        </w:rPr>
      </w:pPr>
    </w:p>
    <w:p w:rsidR="00D516B6" w:rsidRPr="00E27063" w:rsidRDefault="00D516B6" w:rsidP="00D516B6">
      <w:pPr>
        <w:rPr>
          <w:rFonts w:ascii="Calibri" w:hAnsi="Calibri"/>
          <w:b/>
          <w:bCs/>
          <w:i/>
          <w:iCs/>
          <w:color w:val="000000"/>
        </w:rPr>
      </w:pPr>
      <w:r w:rsidRPr="00E27063">
        <w:rPr>
          <w:rFonts w:ascii="Calibri" w:hAnsi="Calibri"/>
          <w:b/>
          <w:bCs/>
          <w:i/>
          <w:iCs/>
          <w:color w:val="000000"/>
        </w:rPr>
        <w:t xml:space="preserve">About EFCG </w:t>
      </w:r>
    </w:p>
    <w:p w:rsidR="00D516B6" w:rsidRPr="00E27063" w:rsidRDefault="00D516B6" w:rsidP="00D516B6">
      <w:pPr>
        <w:rPr>
          <w:rFonts w:ascii="Calibri" w:hAnsi="Calibri"/>
          <w:bCs/>
          <w:i/>
          <w:iCs/>
          <w:color w:val="000000"/>
        </w:rPr>
      </w:pPr>
      <w:r w:rsidRPr="00E27063">
        <w:rPr>
          <w:rFonts w:ascii="Calibri" w:hAnsi="Calibri"/>
          <w:bCs/>
          <w:i/>
          <w:iCs/>
          <w:color w:val="000000"/>
        </w:rPr>
        <w:t xml:space="preserve">EFCG </w:t>
      </w:r>
      <w:proofErr w:type="gramStart"/>
      <w:r w:rsidRPr="00E27063">
        <w:rPr>
          <w:rFonts w:ascii="Calibri" w:hAnsi="Calibri"/>
          <w:bCs/>
          <w:i/>
          <w:iCs/>
          <w:color w:val="000000"/>
        </w:rPr>
        <w:t>was formed</w:t>
      </w:r>
      <w:proofErr w:type="gramEnd"/>
      <w:r w:rsidRPr="00E27063">
        <w:rPr>
          <w:rFonts w:ascii="Calibri" w:hAnsi="Calibri"/>
          <w:bCs/>
          <w:i/>
          <w:iCs/>
          <w:color w:val="000000"/>
        </w:rPr>
        <w:t xml:space="preserve"> in 2004 to be the focus, the forum and the voice of the European fine chemicals manufacturers. We are a non-profit international sector group within </w:t>
      </w:r>
      <w:proofErr w:type="spellStart"/>
      <w:r w:rsidRPr="00E27063">
        <w:rPr>
          <w:rFonts w:ascii="Calibri" w:hAnsi="Calibri"/>
          <w:bCs/>
          <w:i/>
          <w:iCs/>
          <w:color w:val="000000"/>
        </w:rPr>
        <w:t>Cefic</w:t>
      </w:r>
      <w:proofErr w:type="spellEnd"/>
      <w:r w:rsidRPr="00E27063">
        <w:rPr>
          <w:rFonts w:ascii="Calibri" w:hAnsi="Calibri"/>
          <w:bCs/>
          <w:i/>
          <w:iCs/>
          <w:color w:val="000000"/>
        </w:rPr>
        <w:t xml:space="preserve"> - the Brussels-based European Chemical Industry Council - </w:t>
      </w:r>
      <w:r>
        <w:rPr>
          <w:rFonts w:ascii="Calibri" w:hAnsi="Calibri"/>
          <w:bCs/>
          <w:i/>
          <w:iCs/>
          <w:color w:val="000000"/>
        </w:rPr>
        <w:t>and</w:t>
      </w:r>
      <w:r w:rsidRPr="00E27063">
        <w:rPr>
          <w:rFonts w:ascii="Calibri" w:hAnsi="Calibri"/>
          <w:bCs/>
          <w:i/>
          <w:iCs/>
          <w:color w:val="000000"/>
        </w:rPr>
        <w:t xml:space="preserve"> represent over 100 </w:t>
      </w:r>
      <w:proofErr w:type="spellStart"/>
      <w:r w:rsidRPr="00E27063">
        <w:rPr>
          <w:rFonts w:ascii="Calibri" w:hAnsi="Calibri"/>
          <w:bCs/>
          <w:i/>
          <w:iCs/>
          <w:color w:val="000000"/>
        </w:rPr>
        <w:t>organisations</w:t>
      </w:r>
      <w:proofErr w:type="spellEnd"/>
      <w:r w:rsidRPr="00E27063">
        <w:rPr>
          <w:rFonts w:ascii="Calibri" w:hAnsi="Calibri"/>
          <w:bCs/>
          <w:i/>
          <w:iCs/>
          <w:color w:val="000000"/>
        </w:rPr>
        <w:t xml:space="preserve"> with over 200 manufacturing </w:t>
      </w:r>
      <w:proofErr w:type="spellStart"/>
      <w:r w:rsidRPr="00E27063">
        <w:rPr>
          <w:rFonts w:ascii="Calibri" w:hAnsi="Calibri"/>
          <w:bCs/>
          <w:i/>
          <w:iCs/>
          <w:color w:val="000000"/>
        </w:rPr>
        <w:t>sites.</w:t>
      </w:r>
      <w:hyperlink r:id="rId8" w:history="1">
        <w:r w:rsidRPr="00E27063">
          <w:rPr>
            <w:rStyle w:val="Hyperlink"/>
            <w:rFonts w:ascii="Calibri" w:hAnsi="Calibri"/>
            <w:bCs/>
            <w:i/>
            <w:iCs/>
          </w:rPr>
          <w:t>http</w:t>
        </w:r>
        <w:proofErr w:type="spellEnd"/>
        <w:r w:rsidRPr="00E27063">
          <w:rPr>
            <w:rStyle w:val="Hyperlink"/>
            <w:rFonts w:ascii="Calibri" w:hAnsi="Calibri"/>
            <w:bCs/>
            <w:i/>
            <w:iCs/>
          </w:rPr>
          <w:t>://www.efcg.cefic.org/</w:t>
        </w:r>
      </w:hyperlink>
    </w:p>
    <w:p w:rsidR="00D516B6" w:rsidRPr="00E27063" w:rsidRDefault="00D516B6" w:rsidP="00D516B6">
      <w:pPr>
        <w:rPr>
          <w:rFonts w:ascii="Calibri" w:hAnsi="Calibri"/>
          <w:color w:val="000000"/>
        </w:rPr>
      </w:pPr>
    </w:p>
    <w:p w:rsidR="00D516B6" w:rsidRPr="00E27063" w:rsidRDefault="00D516B6" w:rsidP="00D516B6">
      <w:pPr>
        <w:rPr>
          <w:rFonts w:ascii="Calibri" w:hAnsi="Calibri"/>
          <w:b/>
          <w:bCs/>
          <w:i/>
          <w:iCs/>
          <w:color w:val="000000"/>
        </w:rPr>
      </w:pPr>
      <w:r w:rsidRPr="00E27063">
        <w:rPr>
          <w:rFonts w:ascii="Calibri" w:hAnsi="Calibri"/>
          <w:b/>
          <w:bCs/>
          <w:i/>
          <w:iCs/>
          <w:color w:val="000000"/>
        </w:rPr>
        <w:t xml:space="preserve">About </w:t>
      </w:r>
      <w:proofErr w:type="spellStart"/>
      <w:r w:rsidRPr="00E27063">
        <w:rPr>
          <w:rFonts w:ascii="Calibri" w:hAnsi="Calibri"/>
          <w:b/>
          <w:bCs/>
          <w:i/>
          <w:iCs/>
          <w:color w:val="000000"/>
        </w:rPr>
        <w:t>Cefic</w:t>
      </w:r>
      <w:proofErr w:type="spellEnd"/>
      <w:r>
        <w:rPr>
          <w:rFonts w:ascii="Calibri" w:hAnsi="Calibri"/>
          <w:b/>
          <w:bCs/>
          <w:i/>
          <w:iCs/>
          <w:color w:val="000000"/>
        </w:rPr>
        <w:t xml:space="preserve"> </w:t>
      </w:r>
    </w:p>
    <w:p w:rsidR="00D516B6" w:rsidRPr="00E27063" w:rsidRDefault="00D516B6" w:rsidP="00D516B6">
      <w:pPr>
        <w:rPr>
          <w:rFonts w:ascii="Calibri" w:hAnsi="Calibri"/>
          <w:color w:val="000000"/>
        </w:rPr>
      </w:pPr>
      <w:r w:rsidRPr="00E27063">
        <w:rPr>
          <w:rFonts w:ascii="Calibri" w:hAnsi="Calibri"/>
          <w:i/>
          <w:color w:val="000000"/>
        </w:rPr>
        <w:t xml:space="preserve">As the forum and the voice of the chemical industry in Europe, </w:t>
      </w:r>
      <w:proofErr w:type="spellStart"/>
      <w:r w:rsidRPr="00E27063">
        <w:rPr>
          <w:rFonts w:ascii="Calibri" w:hAnsi="Calibri"/>
          <w:i/>
          <w:color w:val="000000"/>
        </w:rPr>
        <w:t>Cefic</w:t>
      </w:r>
      <w:proofErr w:type="spellEnd"/>
      <w:r w:rsidRPr="00E27063">
        <w:rPr>
          <w:rFonts w:ascii="Calibri" w:hAnsi="Calibri"/>
          <w:i/>
          <w:color w:val="000000"/>
        </w:rPr>
        <w:t xml:space="preserve"> is a committed partner to EU policymakers, facilitating dialogue with industry and sharing our broad-based expertise. We represent </w:t>
      </w:r>
      <w:r w:rsidRPr="00E27063">
        <w:rPr>
          <w:rFonts w:ascii="Calibri" w:hAnsi="Calibri"/>
          <w:i/>
          <w:color w:val="000000"/>
        </w:rPr>
        <w:lastRenderedPageBreak/>
        <w:t xml:space="preserve">29,000 large, medium and small chemical companies in Europe, which directly provide 1.2 million jobs and account for 17% of world chemical production. </w:t>
      </w:r>
      <w:hyperlink r:id="rId9" w:history="1">
        <w:r w:rsidRPr="00E27063">
          <w:rPr>
            <w:rStyle w:val="Hyperlink"/>
            <w:rFonts w:ascii="Calibri" w:hAnsi="Calibri"/>
            <w:i/>
          </w:rPr>
          <w:t>www.cefic.org</w:t>
        </w:r>
      </w:hyperlink>
      <w:r w:rsidRPr="00E27063">
        <w:rPr>
          <w:rFonts w:ascii="Calibri" w:hAnsi="Calibri"/>
          <w:i/>
          <w:color w:val="000000"/>
        </w:rPr>
        <w:t xml:space="preserve"> </w:t>
      </w:r>
    </w:p>
    <w:p w:rsidR="00D516B6" w:rsidRPr="00CD721C" w:rsidRDefault="00D516B6" w:rsidP="00D516B6">
      <w:pPr>
        <w:rPr>
          <w:rFonts w:ascii="Calibri" w:hAnsi="Calibri"/>
          <w:i/>
          <w:iCs/>
          <w:color w:val="0000FF"/>
        </w:rPr>
      </w:pPr>
      <w:r w:rsidRPr="00E27063">
        <w:rPr>
          <w:rFonts w:ascii="Calibri" w:hAnsi="Calibri"/>
          <w:color w:val="000000"/>
        </w:rPr>
        <w:br/>
      </w:r>
      <w:r w:rsidRPr="00CD721C">
        <w:rPr>
          <w:rFonts w:ascii="Calibri" w:hAnsi="Calibri"/>
          <w:b/>
          <w:bCs/>
          <w:i/>
          <w:iCs/>
          <w:color w:val="000000"/>
        </w:rPr>
        <w:t>About SOCMA</w:t>
      </w:r>
      <w:r w:rsidRPr="00CD721C">
        <w:rPr>
          <w:rFonts w:ascii="Calibri" w:hAnsi="Calibri"/>
          <w:color w:val="000000"/>
        </w:rPr>
        <w:br/>
      </w:r>
      <w:proofErr w:type="gramStart"/>
      <w:r w:rsidRPr="00CD721C">
        <w:rPr>
          <w:rFonts w:ascii="Calibri" w:hAnsi="Calibri"/>
          <w:i/>
          <w:iCs/>
          <w:color w:val="000000"/>
        </w:rPr>
        <w:t>Since</w:t>
      </w:r>
      <w:proofErr w:type="gramEnd"/>
      <w:r w:rsidRPr="00CD721C">
        <w:rPr>
          <w:rFonts w:ascii="Calibri" w:hAnsi="Calibri"/>
          <w:i/>
          <w:iCs/>
          <w:color w:val="000000"/>
        </w:rPr>
        <w:t xml:space="preserve"> 1921 SOCMA has represented a diverse membership of small, medium and large chemical</w:t>
      </w:r>
      <w:r w:rsidRPr="00CD721C">
        <w:rPr>
          <w:rFonts w:ascii="Calibri" w:hAnsi="Calibri"/>
          <w:color w:val="000000"/>
        </w:rPr>
        <w:br/>
      </w:r>
      <w:r w:rsidRPr="00CD721C">
        <w:rPr>
          <w:rFonts w:ascii="Calibri" w:hAnsi="Calibri"/>
          <w:i/>
          <w:iCs/>
          <w:color w:val="000000"/>
        </w:rPr>
        <w:t xml:space="preserve">companies located around the world. </w:t>
      </w:r>
      <w:hyperlink r:id="rId10" w:history="1">
        <w:r w:rsidRPr="00CD721C">
          <w:rPr>
            <w:rStyle w:val="Hyperlink"/>
            <w:rFonts w:ascii="Calibri" w:hAnsi="Calibri"/>
            <w:i/>
            <w:iCs/>
          </w:rPr>
          <w:t>www.socma.com</w:t>
        </w:r>
      </w:hyperlink>
    </w:p>
    <w:p w:rsidR="00D516B6" w:rsidRDefault="00D516B6" w:rsidP="00D516B6">
      <w:pPr>
        <w:rPr>
          <w:rFonts w:ascii="Calibri" w:hAnsi="Calibri"/>
          <w:b/>
          <w:bCs/>
          <w:i/>
          <w:iCs/>
          <w:color w:val="000000"/>
        </w:rPr>
      </w:pPr>
    </w:p>
    <w:p w:rsidR="00D516B6" w:rsidRPr="00E27063" w:rsidRDefault="00D516B6" w:rsidP="00D516B6">
      <w:pPr>
        <w:rPr>
          <w:rFonts w:ascii="Calibri" w:hAnsi="Calibri"/>
          <w:i/>
          <w:iCs/>
          <w:color w:val="0000FF"/>
        </w:rPr>
      </w:pPr>
      <w:r w:rsidRPr="00E27063">
        <w:rPr>
          <w:rFonts w:ascii="Calibri" w:hAnsi="Calibri"/>
          <w:b/>
          <w:bCs/>
          <w:i/>
          <w:iCs/>
          <w:color w:val="000000"/>
        </w:rPr>
        <w:t>About BPTF</w:t>
      </w:r>
      <w:r w:rsidRPr="00E27063">
        <w:rPr>
          <w:rFonts w:ascii="Calibri" w:hAnsi="Calibri"/>
          <w:color w:val="000000"/>
        </w:rPr>
        <w:br/>
      </w:r>
      <w:r w:rsidRPr="00E27063">
        <w:rPr>
          <w:rFonts w:ascii="Calibri" w:hAnsi="Calibri"/>
          <w:i/>
          <w:iCs/>
          <w:color w:val="000000"/>
        </w:rPr>
        <w:t>SOCMA’s Bulk Pharmaceuticals Task Force (BPTF) is an industry trade organization for U.S</w:t>
      </w:r>
      <w:proofErr w:type="gramStart"/>
      <w:r w:rsidRPr="00E27063">
        <w:rPr>
          <w:rFonts w:ascii="Calibri" w:hAnsi="Calibri"/>
          <w:i/>
          <w:iCs/>
          <w:color w:val="000000"/>
        </w:rPr>
        <w:t>.</w:t>
      </w:r>
      <w:proofErr w:type="gramEnd"/>
      <w:r w:rsidRPr="00E27063">
        <w:rPr>
          <w:rFonts w:ascii="Calibri" w:hAnsi="Calibri"/>
          <w:color w:val="000000"/>
        </w:rPr>
        <w:br/>
      </w:r>
      <w:r w:rsidRPr="00E27063">
        <w:rPr>
          <w:rFonts w:ascii="Calibri" w:hAnsi="Calibri"/>
          <w:i/>
          <w:iCs/>
          <w:color w:val="000000"/>
        </w:rPr>
        <w:t xml:space="preserve">manufacturers of active pharmaceutical ingredients (APIs), their intermediates and excipients. Created in 2002 as an affiliate organization of SOCMA, its objective is to seek clarification of current regulatory requirements and to interact with governmental agencies on emerging issues that may </w:t>
      </w:r>
      <w:proofErr w:type="gramStart"/>
      <w:r w:rsidRPr="00E27063">
        <w:rPr>
          <w:rFonts w:ascii="Calibri" w:hAnsi="Calibri"/>
          <w:i/>
          <w:iCs/>
          <w:color w:val="000000"/>
        </w:rPr>
        <w:t>impact</w:t>
      </w:r>
      <w:proofErr w:type="gramEnd"/>
      <w:r w:rsidRPr="00E27063">
        <w:rPr>
          <w:rFonts w:ascii="Calibri" w:hAnsi="Calibri"/>
          <w:i/>
          <w:iCs/>
          <w:color w:val="000000"/>
        </w:rPr>
        <w:t xml:space="preserve"> SOCMA members. </w:t>
      </w:r>
      <w:hyperlink r:id="rId11" w:history="1">
        <w:r w:rsidRPr="00E27063">
          <w:rPr>
            <w:rStyle w:val="Hyperlink"/>
            <w:rFonts w:ascii="Calibri" w:hAnsi="Calibri"/>
            <w:i/>
            <w:iCs/>
          </w:rPr>
          <w:t>www.bptf.us</w:t>
        </w:r>
      </w:hyperlink>
    </w:p>
    <w:p w:rsidR="00D516B6" w:rsidRPr="00E27063" w:rsidRDefault="00D516B6" w:rsidP="00D516B6">
      <w:pPr>
        <w:rPr>
          <w:rFonts w:ascii="Calibri" w:hAnsi="Calibri"/>
          <w:i/>
          <w:iCs/>
          <w:color w:val="0000FF"/>
        </w:rPr>
      </w:pPr>
    </w:p>
    <w:p w:rsidR="00D516B6" w:rsidRPr="00E27063" w:rsidRDefault="00D516B6" w:rsidP="00D516B6">
      <w:pPr>
        <w:rPr>
          <w:rFonts w:ascii="Calibri" w:hAnsi="Calibri"/>
          <w:b/>
          <w:i/>
          <w:iCs/>
        </w:rPr>
      </w:pPr>
      <w:r w:rsidRPr="00E27063">
        <w:rPr>
          <w:rFonts w:ascii="Calibri" w:hAnsi="Calibri"/>
          <w:b/>
          <w:i/>
          <w:iCs/>
        </w:rPr>
        <w:t xml:space="preserve">About </w:t>
      </w:r>
      <w:proofErr w:type="spellStart"/>
      <w:r w:rsidRPr="00E27063">
        <w:rPr>
          <w:rFonts w:ascii="Calibri" w:hAnsi="Calibri"/>
          <w:b/>
          <w:i/>
          <w:iCs/>
        </w:rPr>
        <w:t>GPhA</w:t>
      </w:r>
      <w:proofErr w:type="spellEnd"/>
    </w:p>
    <w:p w:rsidR="00D516B6" w:rsidRPr="00E27063" w:rsidRDefault="00D516B6" w:rsidP="00D516B6">
      <w:pPr>
        <w:rPr>
          <w:rFonts w:ascii="Calibri" w:hAnsi="Calibri"/>
          <w:i/>
          <w:iCs/>
          <w:color w:val="000000"/>
        </w:rPr>
      </w:pPr>
      <w:proofErr w:type="spellStart"/>
      <w:r w:rsidRPr="00E27063">
        <w:rPr>
          <w:rFonts w:ascii="Calibri" w:hAnsi="Calibri"/>
          <w:i/>
          <w:iCs/>
          <w:color w:val="000000"/>
        </w:rPr>
        <w:t>GPhA</w:t>
      </w:r>
      <w:proofErr w:type="spellEnd"/>
      <w:r w:rsidRPr="00E27063">
        <w:rPr>
          <w:rFonts w:ascii="Calibri" w:hAnsi="Calibri"/>
          <w:i/>
          <w:iCs/>
          <w:color w:val="000000"/>
        </w:rPr>
        <w:t xml:space="preserve"> represents the manufacturers and distributors of finished generic pharmaceuticals,</w:t>
      </w:r>
    </w:p>
    <w:p w:rsidR="00D516B6" w:rsidRPr="00E27063" w:rsidRDefault="00D516B6" w:rsidP="00D516B6">
      <w:pPr>
        <w:rPr>
          <w:rFonts w:ascii="Calibri" w:hAnsi="Calibri"/>
          <w:i/>
          <w:iCs/>
          <w:color w:val="000000"/>
        </w:rPr>
      </w:pPr>
      <w:proofErr w:type="gramStart"/>
      <w:r w:rsidRPr="00E27063">
        <w:rPr>
          <w:rFonts w:ascii="Calibri" w:hAnsi="Calibri"/>
          <w:i/>
          <w:iCs/>
          <w:color w:val="000000"/>
        </w:rPr>
        <w:t>manufacturers</w:t>
      </w:r>
      <w:proofErr w:type="gramEnd"/>
      <w:r w:rsidRPr="00E27063">
        <w:rPr>
          <w:rFonts w:ascii="Calibri" w:hAnsi="Calibri"/>
          <w:i/>
          <w:iCs/>
          <w:color w:val="000000"/>
        </w:rPr>
        <w:t xml:space="preserve"> and distributors of bulk pharmaceutical chemicals, and suppliers of other goods and services to the generic industry. Generic pharmaceuticals fill 88 percent of the prescriptions dispensed in the U.S. but consume just 28 percent of the total drug spending. Additional information is available at </w:t>
      </w:r>
      <w:hyperlink r:id="rId12" w:history="1">
        <w:r w:rsidRPr="00E27063">
          <w:rPr>
            <w:rStyle w:val="Hyperlink"/>
            <w:rFonts w:ascii="Calibri" w:hAnsi="Calibri"/>
            <w:i/>
            <w:iCs/>
          </w:rPr>
          <w:t>www.gphaonline.org</w:t>
        </w:r>
      </w:hyperlink>
    </w:p>
    <w:p w:rsidR="00D516B6" w:rsidRPr="00E27063" w:rsidRDefault="00D516B6" w:rsidP="00D516B6">
      <w:pPr>
        <w:rPr>
          <w:i/>
        </w:rPr>
      </w:pPr>
    </w:p>
    <w:p w:rsidR="00D516B6" w:rsidRPr="00E27063" w:rsidRDefault="00D516B6" w:rsidP="00D516B6">
      <w:pPr>
        <w:rPr>
          <w:rFonts w:ascii="Calibri" w:hAnsi="Calibri"/>
          <w:b/>
          <w:i/>
          <w:iCs/>
        </w:rPr>
      </w:pPr>
      <w:r w:rsidRPr="00E27063">
        <w:rPr>
          <w:rFonts w:ascii="Calibri" w:hAnsi="Calibri"/>
          <w:b/>
          <w:i/>
          <w:iCs/>
        </w:rPr>
        <w:t xml:space="preserve">About the PBOA </w:t>
      </w:r>
    </w:p>
    <w:p w:rsidR="00D516B6" w:rsidRPr="00E27063" w:rsidRDefault="00D516B6" w:rsidP="00D516B6">
      <w:pPr>
        <w:rPr>
          <w:rFonts w:ascii="Calibri" w:hAnsi="Calibri"/>
          <w:color w:val="000000"/>
        </w:rPr>
      </w:pPr>
      <w:r w:rsidRPr="00E27063">
        <w:rPr>
          <w:rFonts w:ascii="Calibri" w:hAnsi="Calibri"/>
          <w:i/>
          <w:iCs/>
          <w:color w:val="000000"/>
        </w:rPr>
        <w:t>Founded in 2014, the Pharma &amp; Biopharma Outsourcing Association (PBOA) is a nonprofit trade association dedicated to advancing the regulatory, legislative and general business interests of Contract Manufacturing Organizations (CMOs) and Contract Development and Manufacturing Organizations (CDMOs). PBOA members provide the services that help the pharma and biopharma industry develop and manufacture drugs, biologics, vaccines, and other treatments safely and cost effectively. For more information about the PBOA, its members, and its mission, please visit</w:t>
      </w:r>
      <w:r w:rsidRPr="00E27063">
        <w:rPr>
          <w:rFonts w:ascii="Calibri" w:hAnsi="Calibri"/>
          <w:color w:val="000000"/>
        </w:rPr>
        <w:t xml:space="preserve"> </w:t>
      </w:r>
      <w:r w:rsidRPr="00E27063">
        <w:rPr>
          <w:rStyle w:val="Hyperlink"/>
        </w:rPr>
        <w:t>www.pharma-bio.org</w:t>
      </w:r>
      <w:r w:rsidRPr="00E27063">
        <w:rPr>
          <w:rFonts w:ascii="Calibri" w:hAnsi="Calibri"/>
          <w:color w:val="000000"/>
        </w:rPr>
        <w:t xml:space="preserve">. </w:t>
      </w:r>
    </w:p>
    <w:p w:rsidR="00D516B6" w:rsidRPr="00E27063" w:rsidRDefault="00D516B6" w:rsidP="00D516B6"/>
    <w:p w:rsidR="00146E21" w:rsidRDefault="00146E21" w:rsidP="00C747DF">
      <w:pPr>
        <w:jc w:val="right"/>
        <w:rPr>
          <w:b/>
          <w:sz w:val="40"/>
          <w:szCs w:val="40"/>
        </w:rPr>
      </w:pPr>
    </w:p>
    <w:sectPr w:rsidR="00146E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C8" w:rsidRDefault="006029C8" w:rsidP="003639A2">
      <w:r>
        <w:separator/>
      </w:r>
    </w:p>
  </w:endnote>
  <w:endnote w:type="continuationSeparator" w:id="0">
    <w:p w:rsidR="006029C8" w:rsidRDefault="006029C8" w:rsidP="0036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B6" w:rsidRDefault="00D5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B6" w:rsidRDefault="00D51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B6" w:rsidRDefault="00D5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C8" w:rsidRDefault="006029C8" w:rsidP="003639A2">
      <w:r>
        <w:separator/>
      </w:r>
    </w:p>
  </w:footnote>
  <w:footnote w:type="continuationSeparator" w:id="0">
    <w:p w:rsidR="006029C8" w:rsidRDefault="006029C8" w:rsidP="0036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B6" w:rsidRDefault="00D51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A2" w:rsidRDefault="001C017E" w:rsidP="00C747DF">
    <w:pPr>
      <w:pStyle w:val="Header"/>
      <w:jc w:val="center"/>
    </w:pPr>
    <w:bookmarkStart w:id="0" w:name="_GoBack"/>
    <w:r>
      <w:rPr>
        <w:noProof/>
        <w:lang w:val="en-GB" w:eastAsia="en-GB"/>
      </w:rPr>
      <w:drawing>
        <wp:inline distT="0" distB="0" distL="0" distR="0">
          <wp:extent cx="202690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CG-LOGO_final-72dpiRGB.jpg"/>
                  <pic:cNvPicPr/>
                </pic:nvPicPr>
                <pic:blipFill>
                  <a:blip r:embed="rId1">
                    <a:extLst>
                      <a:ext uri="{28A0092B-C50C-407E-A947-70E740481C1C}">
                        <a14:useLocalDpi xmlns:a14="http://schemas.microsoft.com/office/drawing/2010/main" val="0"/>
                      </a:ext>
                    </a:extLst>
                  </a:blip>
                  <a:stretch>
                    <a:fillRect/>
                  </a:stretch>
                </pic:blipFill>
                <pic:spPr>
                  <a:xfrm>
                    <a:off x="0" y="0"/>
                    <a:ext cx="2045471" cy="932388"/>
                  </a:xfrm>
                  <a:prstGeom prst="rect">
                    <a:avLst/>
                  </a:prstGeom>
                </pic:spPr>
              </pic:pic>
            </a:graphicData>
          </a:graphic>
        </wp:inline>
      </w:drawing>
    </w:r>
    <w:bookmarkEnd w:id="0"/>
    <w:r w:rsidR="00146E2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B6" w:rsidRDefault="00D51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40B"/>
    <w:multiLevelType w:val="hybridMultilevel"/>
    <w:tmpl w:val="EA3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C39E6"/>
    <w:multiLevelType w:val="hybridMultilevel"/>
    <w:tmpl w:val="FB8E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F6"/>
    <w:rsid w:val="000204DA"/>
    <w:rsid w:val="000D314A"/>
    <w:rsid w:val="0011434F"/>
    <w:rsid w:val="00146E21"/>
    <w:rsid w:val="001C017E"/>
    <w:rsid w:val="001E1D38"/>
    <w:rsid w:val="00241F89"/>
    <w:rsid w:val="002C5BB3"/>
    <w:rsid w:val="003639A2"/>
    <w:rsid w:val="004D673A"/>
    <w:rsid w:val="00522538"/>
    <w:rsid w:val="006029C8"/>
    <w:rsid w:val="00676F94"/>
    <w:rsid w:val="006B2C42"/>
    <w:rsid w:val="00711B16"/>
    <w:rsid w:val="00720DAC"/>
    <w:rsid w:val="00753A4E"/>
    <w:rsid w:val="008B6E6A"/>
    <w:rsid w:val="008C6613"/>
    <w:rsid w:val="00951E02"/>
    <w:rsid w:val="0096148C"/>
    <w:rsid w:val="00962D73"/>
    <w:rsid w:val="00976F87"/>
    <w:rsid w:val="00AA07AB"/>
    <w:rsid w:val="00AB1621"/>
    <w:rsid w:val="00B10EF7"/>
    <w:rsid w:val="00B350DD"/>
    <w:rsid w:val="00BC34F6"/>
    <w:rsid w:val="00C621C7"/>
    <w:rsid w:val="00C747DF"/>
    <w:rsid w:val="00D516B6"/>
    <w:rsid w:val="00DE7310"/>
    <w:rsid w:val="00DF565D"/>
    <w:rsid w:val="00E4036F"/>
    <w:rsid w:val="00E969F8"/>
    <w:rsid w:val="00F955DC"/>
    <w:rsid w:val="00FA0336"/>
    <w:rsid w:val="00FE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6C14"/>
  <w15:docId w15:val="{85C55626-D395-435D-A635-9FB1DCC9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87"/>
    <w:pPr>
      <w:ind w:left="720"/>
      <w:contextualSpacing/>
    </w:pPr>
  </w:style>
  <w:style w:type="paragraph" w:styleId="BalloonText">
    <w:name w:val="Balloon Text"/>
    <w:basedOn w:val="Normal"/>
    <w:link w:val="BalloonTextChar"/>
    <w:uiPriority w:val="99"/>
    <w:semiHidden/>
    <w:unhideWhenUsed/>
    <w:rsid w:val="003639A2"/>
    <w:rPr>
      <w:rFonts w:ascii="Tahoma" w:hAnsi="Tahoma" w:cs="Tahoma"/>
      <w:sz w:val="16"/>
      <w:szCs w:val="16"/>
    </w:rPr>
  </w:style>
  <w:style w:type="character" w:customStyle="1" w:styleId="BalloonTextChar">
    <w:name w:val="Balloon Text Char"/>
    <w:basedOn w:val="DefaultParagraphFont"/>
    <w:link w:val="BalloonText"/>
    <w:uiPriority w:val="99"/>
    <w:semiHidden/>
    <w:rsid w:val="003639A2"/>
    <w:rPr>
      <w:rFonts w:ascii="Tahoma" w:hAnsi="Tahoma" w:cs="Tahoma"/>
      <w:sz w:val="16"/>
      <w:szCs w:val="16"/>
    </w:rPr>
  </w:style>
  <w:style w:type="paragraph" w:styleId="Header">
    <w:name w:val="header"/>
    <w:basedOn w:val="Normal"/>
    <w:link w:val="HeaderChar"/>
    <w:uiPriority w:val="99"/>
    <w:unhideWhenUsed/>
    <w:rsid w:val="003639A2"/>
    <w:pPr>
      <w:tabs>
        <w:tab w:val="center" w:pos="4513"/>
        <w:tab w:val="right" w:pos="9026"/>
      </w:tabs>
    </w:pPr>
  </w:style>
  <w:style w:type="character" w:customStyle="1" w:styleId="HeaderChar">
    <w:name w:val="Header Char"/>
    <w:basedOn w:val="DefaultParagraphFont"/>
    <w:link w:val="Header"/>
    <w:uiPriority w:val="99"/>
    <w:rsid w:val="003639A2"/>
  </w:style>
  <w:style w:type="paragraph" w:styleId="Footer">
    <w:name w:val="footer"/>
    <w:basedOn w:val="Normal"/>
    <w:link w:val="FooterChar"/>
    <w:uiPriority w:val="99"/>
    <w:unhideWhenUsed/>
    <w:rsid w:val="003639A2"/>
    <w:pPr>
      <w:tabs>
        <w:tab w:val="center" w:pos="4513"/>
        <w:tab w:val="right" w:pos="9026"/>
      </w:tabs>
    </w:pPr>
  </w:style>
  <w:style w:type="character" w:customStyle="1" w:styleId="FooterChar">
    <w:name w:val="Footer Char"/>
    <w:basedOn w:val="DefaultParagraphFont"/>
    <w:link w:val="Footer"/>
    <w:uiPriority w:val="99"/>
    <w:rsid w:val="003639A2"/>
  </w:style>
  <w:style w:type="character" w:styleId="CommentReference">
    <w:name w:val="annotation reference"/>
    <w:basedOn w:val="DefaultParagraphFont"/>
    <w:uiPriority w:val="99"/>
    <w:semiHidden/>
    <w:unhideWhenUsed/>
    <w:rsid w:val="00B350DD"/>
    <w:rPr>
      <w:sz w:val="16"/>
      <w:szCs w:val="16"/>
    </w:rPr>
  </w:style>
  <w:style w:type="paragraph" w:styleId="CommentText">
    <w:name w:val="annotation text"/>
    <w:basedOn w:val="Normal"/>
    <w:link w:val="CommentTextChar"/>
    <w:uiPriority w:val="99"/>
    <w:semiHidden/>
    <w:unhideWhenUsed/>
    <w:rsid w:val="00B350DD"/>
    <w:rPr>
      <w:sz w:val="20"/>
      <w:szCs w:val="20"/>
    </w:rPr>
  </w:style>
  <w:style w:type="character" w:customStyle="1" w:styleId="CommentTextChar">
    <w:name w:val="Comment Text Char"/>
    <w:basedOn w:val="DefaultParagraphFont"/>
    <w:link w:val="CommentText"/>
    <w:uiPriority w:val="99"/>
    <w:semiHidden/>
    <w:rsid w:val="00B350DD"/>
    <w:rPr>
      <w:sz w:val="20"/>
      <w:szCs w:val="20"/>
    </w:rPr>
  </w:style>
  <w:style w:type="paragraph" w:styleId="CommentSubject">
    <w:name w:val="annotation subject"/>
    <w:basedOn w:val="CommentText"/>
    <w:next w:val="CommentText"/>
    <w:link w:val="CommentSubjectChar"/>
    <w:uiPriority w:val="99"/>
    <w:semiHidden/>
    <w:unhideWhenUsed/>
    <w:rsid w:val="00B350DD"/>
    <w:rPr>
      <w:b/>
      <w:bCs/>
    </w:rPr>
  </w:style>
  <w:style w:type="character" w:customStyle="1" w:styleId="CommentSubjectChar">
    <w:name w:val="Comment Subject Char"/>
    <w:basedOn w:val="CommentTextChar"/>
    <w:link w:val="CommentSubject"/>
    <w:uiPriority w:val="99"/>
    <w:semiHidden/>
    <w:rsid w:val="00B350DD"/>
    <w:rPr>
      <w:b/>
      <w:bCs/>
      <w:sz w:val="20"/>
      <w:szCs w:val="20"/>
    </w:rPr>
  </w:style>
  <w:style w:type="character" w:styleId="Hyperlink">
    <w:name w:val="Hyperlink"/>
    <w:basedOn w:val="DefaultParagraphFont"/>
    <w:uiPriority w:val="99"/>
    <w:unhideWhenUsed/>
    <w:rsid w:val="00D516B6"/>
    <w:rPr>
      <w:color w:val="0563C1" w:themeColor="hyperlink"/>
      <w:u w:val="single"/>
    </w:rPr>
  </w:style>
  <w:style w:type="paragraph" w:customStyle="1" w:styleId="Default">
    <w:name w:val="Default"/>
    <w:rsid w:val="00D516B6"/>
    <w:pPr>
      <w:autoSpaceDE w:val="0"/>
      <w:autoSpaceDN w:val="0"/>
      <w:adjustRightInd w:val="0"/>
      <w:spacing w:after="0" w:line="240" w:lineRule="auto"/>
    </w:pPr>
    <w:rPr>
      <w:rFonts w:ascii="Calibri" w:hAnsi="Calibri" w:cs="Calibri"/>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824">
      <w:bodyDiv w:val="1"/>
      <w:marLeft w:val="0"/>
      <w:marRight w:val="0"/>
      <w:marTop w:val="0"/>
      <w:marBottom w:val="0"/>
      <w:divBdr>
        <w:top w:val="none" w:sz="0" w:space="0" w:color="auto"/>
        <w:left w:val="none" w:sz="0" w:space="0" w:color="auto"/>
        <w:bottom w:val="none" w:sz="0" w:space="0" w:color="auto"/>
        <w:right w:val="none" w:sz="0" w:space="0" w:color="auto"/>
      </w:divBdr>
      <w:divsChild>
        <w:div w:id="1518692343">
          <w:marLeft w:val="0"/>
          <w:marRight w:val="0"/>
          <w:marTop w:val="0"/>
          <w:marBottom w:val="0"/>
          <w:divBdr>
            <w:top w:val="none" w:sz="0" w:space="0" w:color="auto"/>
            <w:left w:val="none" w:sz="0" w:space="0" w:color="auto"/>
            <w:bottom w:val="none" w:sz="0" w:space="0" w:color="auto"/>
            <w:right w:val="none" w:sz="0" w:space="0" w:color="auto"/>
          </w:divBdr>
          <w:divsChild>
            <w:div w:id="1673139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1201833">
      <w:bodyDiv w:val="1"/>
      <w:marLeft w:val="0"/>
      <w:marRight w:val="0"/>
      <w:marTop w:val="0"/>
      <w:marBottom w:val="0"/>
      <w:divBdr>
        <w:top w:val="none" w:sz="0" w:space="0" w:color="auto"/>
        <w:left w:val="none" w:sz="0" w:space="0" w:color="auto"/>
        <w:bottom w:val="none" w:sz="0" w:space="0" w:color="auto"/>
        <w:right w:val="none" w:sz="0" w:space="0" w:color="auto"/>
      </w:divBdr>
    </w:div>
    <w:div w:id="15120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cg.cefic.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h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tf.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m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fic.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9BE6-502D-43D4-92F8-7F335873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Gomes (Hovione, LR)</dc:creator>
  <cp:lastModifiedBy>SAYKALI Maggie</cp:lastModifiedBy>
  <cp:revision>2</cp:revision>
  <dcterms:created xsi:type="dcterms:W3CDTF">2018-06-26T11:34:00Z</dcterms:created>
  <dcterms:modified xsi:type="dcterms:W3CDTF">2018-06-26T11:34:00Z</dcterms:modified>
</cp:coreProperties>
</file>